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0A" w:rsidRPr="00436B0A" w:rsidRDefault="00436B0A" w:rsidP="00436B0A">
      <w:pPr>
        <w:shd w:val="clear" w:color="auto" w:fill="FFFFFF"/>
        <w:spacing w:after="27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67"/>
          <w:szCs w:val="67"/>
          <w:lang w:eastAsia="ru-RU"/>
        </w:rPr>
      </w:pPr>
      <w:r w:rsidRPr="00436B0A">
        <w:rPr>
          <w:rFonts w:ascii="Arial" w:eastAsia="Times New Roman" w:hAnsi="Arial" w:cs="Arial"/>
          <w:b/>
          <w:bCs/>
          <w:kern w:val="36"/>
          <w:sz w:val="67"/>
          <w:szCs w:val="67"/>
          <w:lang w:eastAsia="ru-RU"/>
        </w:rPr>
        <w:t>УСЛОВИЯ ГАРАНТИИ НА ОБОРУДОВАНИЕ VANDJORD</w:t>
      </w:r>
    </w:p>
    <w:p w:rsidR="00436B0A" w:rsidRPr="00436B0A" w:rsidRDefault="00436B0A" w:rsidP="00436B0A">
      <w:pPr>
        <w:shd w:val="clear" w:color="auto" w:fill="FFFFFF"/>
        <w:spacing w:before="450" w:after="375" w:line="240" w:lineRule="auto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436B0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Гарантийные сроки</w:t>
      </w:r>
    </w:p>
    <w:p w:rsidR="00436B0A" w:rsidRDefault="00436B0A" w:rsidP="00436B0A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Срок службы оборудования – 10 лет с даты производства. Дата производства указана на фирменной табличке оборудования. Срок гарантии качества (далее по тексту «Гарантийный срок») не действует на оборудование с истекшим сроком службы.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Гарантийный срок на оборудование прекращается после истечения 26 месяцев, следующих за месяцем производства оборудования. 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Если иное не установлено настоящими Условиями гарантии, гарантийный срок на запасные части, рем</w:t>
      </w:r>
      <w:r w:rsidR="004746A7" w:rsidRPr="004746A7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 xml:space="preserve">. </w:t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комплекты, принадлежности (кроме шкафов управления), насосы без двигателя (поставляемые как запасная часть) составляет 12 месяцев со дня продажи конечному пользователю. Гарантийный срок подтверждается документами продажи.</w:t>
      </w:r>
      <w:bookmarkStart w:id="0" w:name="_GoBack"/>
      <w:bookmarkEnd w:id="0"/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При замене оборудования по гарантии гарантийный срок на новое оборудование начинает течь заново и устанавливается в размере 12 месяцев с даты замены.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Если конечным пользователем оборудования является юридическое лицо/индивидуальный предприниматель, гарантийный срок не увеличивается на срок нахождения оборудования в гарантийном  ремонте. Если конечным пользователем оборудования является потребитель (применяется понятие, используемое в Законе РФ от 07.02.1992 N 2300-1), гарантийный срок на оборудование, находившееся в гарантийном ремонте, увеличивается на срок нахождения оборудования в ремонте. Если оставшийся после  ремонта  период составляет менее 6 месяцев, то гарантийный срок увеличивается до 6 месяцев с даты ремонта.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Если по результатам диагностики авторизованного Сервисного центра (далее – Сервисный центр) в сервисном протоколе установлен временный запрет на эксплуатацию оборудования, то запрет действует до окончания гарантийного ремонта. При нарушении данного запрета гарантийный срок на оборудование прекращается и оборудование не подлежит гарантийному ремонту.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Если иное не установлено настоящими Условиями гарантии, гарантийный срок на детали и узлы, замененные в ходе не гарантийного ремонта/обслуживания оборудования Сервисным центром, составляет 12 месяцев со дня выдачи конечному пользователю оборудования. Гарантийный срок на оборудование сохраняется прежним. Гарантийный срок подтверждается сервисным протоколом Сервисного центра.</w:t>
      </w:r>
    </w:p>
    <w:p w:rsidR="00436B0A" w:rsidRDefault="00436B0A" w:rsidP="00436B0A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</w:pPr>
    </w:p>
    <w:p w:rsidR="00436B0A" w:rsidRPr="00436B0A" w:rsidRDefault="00436B0A" w:rsidP="00436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0A" w:rsidRPr="00436B0A" w:rsidRDefault="00436B0A" w:rsidP="00436B0A">
      <w:pPr>
        <w:shd w:val="clear" w:color="auto" w:fill="FFFFFF"/>
        <w:spacing w:before="450" w:after="375" w:line="240" w:lineRule="auto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436B0A">
        <w:rPr>
          <w:rFonts w:ascii="Arial" w:eastAsia="Times New Roman" w:hAnsi="Arial" w:cs="Arial"/>
          <w:b/>
          <w:bCs/>
          <w:sz w:val="48"/>
          <w:szCs w:val="48"/>
          <w:lang w:eastAsia="ru-RU"/>
        </w:rPr>
        <w:lastRenderedPageBreak/>
        <w:t>Гарантийные условия</w:t>
      </w:r>
    </w:p>
    <w:p w:rsidR="00436B0A" w:rsidRPr="00436B0A" w:rsidRDefault="00436B0A" w:rsidP="00436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При установлении гарантийного случая оборудование (детали, узлы) ремонтируется или заменяется бесплатно Сервисным центром. Сервисный центр принимает решение о месте ремонта или о замене на условиях действующего законодательства. После замены по гарантии неисправное оборудование (детали, узлы) передается в Сервисный центр по акту.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 xml:space="preserve">Если иное не предусмотрено законодательством, Сервисный центр определяет способ устранения недостатка, в </w:t>
      </w:r>
      <w:proofErr w:type="spellStart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т.ч</w:t>
      </w:r>
      <w:proofErr w:type="spellEnd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. необходимость замены оборудования. Неисправность устраняется в минимальный разумный срок, объективно необходимый для её устранения.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Оборудование (комплектующее изделие) считается дефектным только в том случае, если при изготовлении были использованы материалы, детали, узлы, не соответствующие техническим условиям и стандартам, установленным применимым законодательством, нормативными актами, документацией на оборудование.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Гарантийные обязательства не распространяются на случаи естественного износа.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Гарантийные обязательства не распространяются на расходные материалы, а именно: предохранители, уплотнения вала (сальниковые и скользящие торцевые), уплотнения кольцевые, манжеты. В насосах типа VNK, VLS к расходным материалам также относятся соединительные муфты.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Гарантийные обязательства прекращаются в случае: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оборудование введено в эксплуатацию и (или) эксплуатируется и (или) обслуживается с нарушением требований, установленных Руководством по монтажу и эксплуатации;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оборудование имело неправильное электрическое, гидравлическое, механическое подключение;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оборудование запущено /эксплуатируется без воды (или иной перекачиваемой жидкости);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перекачиваемая жидкость не соответствует требованиям Руководства по монтажу и эксплуатации;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если оборудование имеет несоответствие электрического питания стандартам и нормам, указанным в Руководстве по монтажу и эксплуатации;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если оборудование имеет недостатки или повреждения (в </w:t>
      </w:r>
      <w:proofErr w:type="spellStart"/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т.ч</w:t>
      </w:r>
      <w:proofErr w:type="spellEnd"/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механические, химические), возникшие в результате действий/бездействий конечного пользователя, третьих лиц, в результате любых иных обстоятельств, наступивших после передачи оборудования конечному пользователю (в том числе при нарушении правил транспортировки и хранения оборудования);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оборудование получило дефекты (неисправности) в результате неисправности или несоответствия системы конечного пользователя;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если оборудование модифицировано/обслуживалось/разбиралось/ремонтировалось лицом, не являющимся представителем Сервисного центра;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оборудование было изменено, в том числе в части конструкции, при отсутствии согласования изменений с заводом-изготовителем;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применялись неоригинальные запасные части;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 если оборудование использовано в области применения/режимах или при методах использования, не предусмотренных для такого оборудования (в </w:t>
      </w:r>
      <w:proofErr w:type="spellStart"/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т.ч</w:t>
      </w:r>
      <w:proofErr w:type="spellEnd"/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при установке оборудования в среде/системе, не предназначенной для такого оборудования);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оборудование введено в эксплуатацию и (или) эксплуатируется и (или) технически обслуживается с нарушением требований, установленных применимым законодательством, нормативными актами, документацией на оборудование;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оборудование вывезено за пределы государства, в котором оборудование продано конечному пользователю.</w:t>
      </w:r>
    </w:p>
    <w:p w:rsidR="00436B0A" w:rsidRPr="00436B0A" w:rsidRDefault="00436B0A" w:rsidP="00436B0A">
      <w:p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Гарантийные обязательства прекращаются по истечении гарантийного срока.</w:t>
      </w:r>
    </w:p>
    <w:p w:rsidR="00436B0A" w:rsidRPr="00436B0A" w:rsidRDefault="00436B0A" w:rsidP="00436B0A">
      <w:p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Гарантийные обязательства не распространяются на случаи несоответствия характеристик оборудования характеристикам системы конечного пользователя.</w:t>
      </w:r>
    </w:p>
    <w:p w:rsidR="00436B0A" w:rsidRPr="00436B0A" w:rsidRDefault="00436B0A" w:rsidP="00436B0A">
      <w:p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 подлежат рассмотрению заявления на проведение гарантийного ремонта в следующих случаях: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заявление не имеет даты, подписи/ номера мобильного телефона/ адреса конечного пользователя (если конечным пользователем является юридическое лицо – то указываются контактные данные уполномоченного представителя юридического лица);</w:t>
      </w:r>
    </w:p>
    <w:p w:rsidR="00436B0A" w:rsidRPr="00436B0A" w:rsidRDefault="00436B0A" w:rsidP="00436B0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случае отказа конечного пользователя от передачи оборудования на диагностику с целью установления гарантийного случая и подписания соответствующих документов.</w:t>
      </w:r>
    </w:p>
    <w:p w:rsidR="00436B0A" w:rsidRDefault="00436B0A" w:rsidP="00436B0A">
      <w:pPr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 xml:space="preserve">Любые сообщения (в </w:t>
      </w:r>
      <w:proofErr w:type="spellStart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т.ч</w:t>
      </w:r>
      <w:proofErr w:type="spellEnd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 xml:space="preserve">. документы в </w:t>
      </w:r>
      <w:proofErr w:type="spellStart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pdf</w:t>
      </w:r>
      <w:proofErr w:type="spellEnd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 xml:space="preserve">. копиях), отправленные по номеру мобильного телефона, указанному в заявлении, являются сообщениями, направленными надлежащим образом и полученными конечным пользователем на дату отправления сообщения. </w:t>
      </w:r>
      <w:proofErr w:type="spellStart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Pdf</w:t>
      </w:r>
      <w:proofErr w:type="spellEnd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 xml:space="preserve">. копии документов (в </w:t>
      </w:r>
      <w:proofErr w:type="spellStart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т.ч</w:t>
      </w:r>
      <w:proofErr w:type="spellEnd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. копии сервисных протоколов) имеют силу оригиналов и являются отправленными надлежащим образом при отправке посредством любого мессенджера, используемого для указанного в заявлении номера мобильного телефона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Не возмещаются убытки, связанные с монтажом и демонтажем оборудования в гарантийный период, а также ущерб, нанесенный другому оборудованию, находящемуся у конечного пользователя, в результате неисправностей (или дефектов), в отношении которых установлен гарантийный случай.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 xml:space="preserve">Диагностика оборудования, по результатам которой не установлен гарантийный случай, также как и работы, проводимые с оборудованием ( в </w:t>
      </w:r>
      <w:proofErr w:type="spellStart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т.ч</w:t>
      </w:r>
      <w:proofErr w:type="spellEnd"/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.  любая замена запасных частей и т.п.</w:t>
      </w:r>
      <w:r w:rsidR="004746A7"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), по</w:t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 xml:space="preserve"> результатам которых не установлен гарантийный случай, являются платной услугой и оплачивается конечным пользователем в полном </w:t>
      </w:r>
      <w:r w:rsidR="004746A7"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объеме,</w:t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 xml:space="preserve"> как и транспортные расходы.</w:t>
      </w:r>
    </w:p>
    <w:p w:rsidR="00436B0A" w:rsidRDefault="00436B0A" w:rsidP="00436B0A">
      <w:pPr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</w:pP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Расходы, связанные с временем ожидания Сервисного центра и возникшие по причине задержки со стороны конечного пользователя, оплачиваются конечным пользователем.</w:t>
      </w:r>
    </w:p>
    <w:p w:rsidR="00B74783" w:rsidRDefault="00436B0A" w:rsidP="00436B0A"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Претензии по гарантии не могут быть предъявлены по основаниям, не указанным в настоящих Условиях гарантии.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В пределах, допускаемых действующим применимым законодательством, все претензии, связанные с оборудованием, должны направляться продавцу в соответствии с применимым Гражданским кодексом, если  иное прямо не установлено применимым законодательством для потребителей.  </w:t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436B0A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Если иное прямо не предусмотрено применимым законодательством, не устанавливается никакой дополнительной ответственности перед конечным пользователем в отношении всех и любых убытков (прямых или косвенных), возникших в связи с оборудованием и в отношении контракта, правонарушения (включая халатность), нарушения, установленных законом обязанностей или иного (в том числе в отношении оплаты требований третьих лиц). В случае предъявления иска, предполагающего ответственность в связи с оборудованием, он должен быть направлен продавцу оборудования в соответствии с применимым законодательством. </w:t>
      </w:r>
    </w:p>
    <w:sectPr w:rsidR="00B7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F5E"/>
    <w:multiLevelType w:val="multilevel"/>
    <w:tmpl w:val="2C5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A"/>
    <w:rsid w:val="00436B0A"/>
    <w:rsid w:val="004746A7"/>
    <w:rsid w:val="00B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CAE"/>
  <w15:chartTrackingRefBased/>
  <w15:docId w15:val="{FFB1371A-DF19-48A8-B68B-4A1B4212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6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6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AVFedorovich</dc:creator>
  <cp:keywords/>
  <dc:description/>
  <cp:lastModifiedBy>AVFedorovich</cp:lastModifiedBy>
  <cp:revision>3</cp:revision>
  <dcterms:created xsi:type="dcterms:W3CDTF">2023-05-31T16:33:00Z</dcterms:created>
  <dcterms:modified xsi:type="dcterms:W3CDTF">2023-05-31T16:36:00Z</dcterms:modified>
</cp:coreProperties>
</file>